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B" w:rsidRPr="00DE704D" w:rsidRDefault="005C6CBB" w:rsidP="005C6CBB">
      <w:pPr>
        <w:jc w:val="both"/>
        <w:rPr>
          <w:rFonts w:ascii="Cambria" w:hAnsi="Cambria" w:cs="Arial"/>
          <w:color w:val="632423"/>
        </w:rPr>
      </w:pPr>
      <w:r>
        <w:rPr>
          <w:rFonts w:ascii="Cambria" w:hAnsi="Cambria" w:cs="Arial"/>
          <w:color w:val="632423"/>
        </w:rPr>
        <w:t xml:space="preserve">Hotel </w:t>
      </w:r>
      <w:proofErr w:type="spellStart"/>
      <w:r>
        <w:rPr>
          <w:rFonts w:ascii="Cambria" w:hAnsi="Cambria" w:cs="Arial"/>
          <w:color w:val="632423"/>
        </w:rPr>
        <w:t>Sayaji</w:t>
      </w:r>
      <w:proofErr w:type="spellEnd"/>
      <w:r>
        <w:rPr>
          <w:rFonts w:ascii="Cambria" w:hAnsi="Cambria" w:cs="Arial"/>
          <w:color w:val="632423"/>
        </w:rPr>
        <w:t xml:space="preserve"> – Room Rates</w:t>
      </w:r>
    </w:p>
    <w:p w:rsidR="005C6CBB" w:rsidRPr="00DE704D" w:rsidRDefault="005C6CBB" w:rsidP="005C6CBB">
      <w:pPr>
        <w:tabs>
          <w:tab w:val="left" w:pos="1110"/>
        </w:tabs>
        <w:jc w:val="both"/>
        <w:rPr>
          <w:rFonts w:ascii="Cambria" w:hAnsi="Cambria" w:cs="Arial"/>
          <w:color w:val="632423"/>
          <w:sz w:val="16"/>
          <w:szCs w:val="16"/>
        </w:rPr>
      </w:pPr>
      <w:r w:rsidRPr="00DE704D">
        <w:rPr>
          <w:rFonts w:ascii="Cambria" w:hAnsi="Cambria" w:cs="Arial"/>
          <w:color w:val="632423"/>
        </w:rPr>
        <w:tab/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</w:tblGrid>
      <w:tr w:rsidR="005C6CBB" w:rsidRPr="00DE704D" w:rsidTr="00B675B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B675B6">
            <w:pPr>
              <w:jc w:val="both"/>
              <w:rPr>
                <w:rFonts w:ascii="Cambria" w:hAnsi="Cambria" w:cs="Arial"/>
                <w:b/>
                <w:color w:val="632423"/>
              </w:rPr>
            </w:pPr>
          </w:p>
        </w:tc>
      </w:tr>
      <w:tr w:rsidR="005C6CBB" w:rsidRPr="00DE704D" w:rsidTr="00B675B6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Room Type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 xml:space="preserve">Rack Rates </w:t>
            </w:r>
          </w:p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(INR)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Special Offer (INR)</w:t>
            </w: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proofErr w:type="spellStart"/>
            <w:r w:rsidRPr="00DE704D">
              <w:rPr>
                <w:rFonts w:ascii="Cambria" w:hAnsi="Cambria" w:cs="Arial"/>
                <w:color w:val="632423"/>
              </w:rPr>
              <w:t>Sayaji</w:t>
            </w:r>
            <w:proofErr w:type="spellEnd"/>
            <w:r w:rsidRPr="00DE704D">
              <w:rPr>
                <w:rFonts w:ascii="Cambria" w:hAnsi="Cambria" w:cs="Arial"/>
                <w:color w:val="632423"/>
              </w:rPr>
              <w:t xml:space="preserve"> Grande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Single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>
              <w:rPr>
                <w:rFonts w:ascii="Cambria" w:hAnsi="Cambria" w:cs="Arial"/>
                <w:color w:val="632423"/>
              </w:rPr>
              <w:t>65</w:t>
            </w:r>
            <w:r w:rsidRPr="00DE704D">
              <w:rPr>
                <w:rFonts w:ascii="Cambria" w:hAnsi="Cambria" w:cs="Arial"/>
                <w:color w:val="632423"/>
              </w:rPr>
              <w:t>00.00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571005">
            <w:pPr>
              <w:jc w:val="both"/>
              <w:rPr>
                <w:rFonts w:ascii="Cambria" w:hAnsi="Cambria" w:cs="Arial"/>
                <w:b/>
                <w:color w:val="632423"/>
              </w:rPr>
            </w:pPr>
            <w:r>
              <w:rPr>
                <w:rFonts w:ascii="Cambria" w:hAnsi="Cambria" w:cs="Arial"/>
                <w:b/>
                <w:color w:val="632423"/>
              </w:rPr>
              <w:t>4225.00</w:t>
            </w: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Double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>
              <w:rPr>
                <w:rFonts w:ascii="Cambria" w:hAnsi="Cambria" w:cs="Arial"/>
                <w:color w:val="632423"/>
              </w:rPr>
              <w:t>75</w:t>
            </w:r>
            <w:r w:rsidRPr="00DE704D">
              <w:rPr>
                <w:rFonts w:ascii="Cambria" w:hAnsi="Cambria" w:cs="Arial"/>
                <w:color w:val="632423"/>
              </w:rPr>
              <w:t>00.00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B675B6">
            <w:pPr>
              <w:jc w:val="both"/>
              <w:rPr>
                <w:rFonts w:ascii="Cambria" w:hAnsi="Cambria" w:cs="Arial"/>
                <w:b/>
                <w:color w:val="632423"/>
              </w:rPr>
            </w:pPr>
            <w:r>
              <w:rPr>
                <w:rFonts w:ascii="Cambria" w:hAnsi="Cambria" w:cs="Arial"/>
                <w:b/>
                <w:color w:val="632423"/>
              </w:rPr>
              <w:t>4875.00</w:t>
            </w: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Extra bed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>
              <w:rPr>
                <w:rFonts w:ascii="Cambria" w:hAnsi="Cambria" w:cs="Arial"/>
                <w:color w:val="632423"/>
              </w:rPr>
              <w:t>120</w:t>
            </w:r>
            <w:r w:rsidRPr="00DE704D">
              <w:rPr>
                <w:rFonts w:ascii="Cambria" w:hAnsi="Cambria" w:cs="Arial"/>
                <w:color w:val="632423"/>
              </w:rPr>
              <w:t>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B675B6">
            <w:pPr>
              <w:jc w:val="both"/>
              <w:rPr>
                <w:rFonts w:ascii="Cambria" w:hAnsi="Cambria" w:cs="Arial"/>
                <w:b/>
                <w:color w:val="632423"/>
              </w:rPr>
            </w:pPr>
            <w:r>
              <w:rPr>
                <w:rFonts w:ascii="Cambria" w:hAnsi="Cambria" w:cs="Arial"/>
                <w:b/>
                <w:color w:val="632423"/>
              </w:rPr>
              <w:t>12</w:t>
            </w:r>
            <w:r w:rsidRPr="00AE72E3">
              <w:rPr>
                <w:rFonts w:ascii="Cambria" w:hAnsi="Cambria" w:cs="Arial"/>
                <w:b/>
                <w:color w:val="632423"/>
              </w:rPr>
              <w:t>00.00</w:t>
            </w: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SUITE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SINGLE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>
              <w:rPr>
                <w:rFonts w:ascii="Cambria" w:hAnsi="Cambria" w:cs="Arial"/>
                <w:color w:val="632423"/>
              </w:rPr>
              <w:t>11</w:t>
            </w:r>
            <w:r w:rsidRPr="00DE704D">
              <w:rPr>
                <w:rFonts w:ascii="Cambria" w:hAnsi="Cambria" w:cs="Arial"/>
                <w:color w:val="632423"/>
              </w:rPr>
              <w:t>0</w:t>
            </w:r>
            <w:r>
              <w:rPr>
                <w:rFonts w:ascii="Cambria" w:hAnsi="Cambria" w:cs="Arial"/>
                <w:color w:val="632423"/>
              </w:rPr>
              <w:t>0</w:t>
            </w:r>
            <w:r w:rsidRPr="00DE704D">
              <w:rPr>
                <w:rFonts w:ascii="Cambria" w:hAnsi="Cambria" w:cs="Arial"/>
                <w:color w:val="632423"/>
              </w:rPr>
              <w:t>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B675B6">
            <w:pPr>
              <w:jc w:val="both"/>
              <w:rPr>
                <w:rFonts w:ascii="Cambria" w:hAnsi="Cambria" w:cs="Arial"/>
                <w:b/>
                <w:color w:val="632423"/>
              </w:rPr>
            </w:pPr>
            <w:r>
              <w:rPr>
                <w:rFonts w:ascii="Cambria" w:hAnsi="Cambria" w:cs="Arial"/>
                <w:b/>
                <w:color w:val="632423"/>
              </w:rPr>
              <w:t>7150.00</w:t>
            </w: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DOUBLE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>
              <w:rPr>
                <w:rFonts w:ascii="Cambria" w:hAnsi="Cambria" w:cs="Arial"/>
                <w:color w:val="632423"/>
              </w:rPr>
              <w:t>125</w:t>
            </w:r>
            <w:r w:rsidRPr="00DE704D">
              <w:rPr>
                <w:rFonts w:ascii="Cambria" w:hAnsi="Cambria" w:cs="Arial"/>
                <w:color w:val="632423"/>
              </w:rPr>
              <w:t>00.00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B675B6">
            <w:pPr>
              <w:jc w:val="both"/>
              <w:rPr>
                <w:rFonts w:ascii="Cambria" w:hAnsi="Cambria" w:cs="Arial"/>
                <w:b/>
                <w:color w:val="632423"/>
              </w:rPr>
            </w:pPr>
            <w:r>
              <w:rPr>
                <w:rFonts w:ascii="Cambria" w:hAnsi="Cambria" w:cs="Arial"/>
                <w:b/>
                <w:color w:val="632423"/>
              </w:rPr>
              <w:t>8125.00</w:t>
            </w:r>
          </w:p>
        </w:tc>
      </w:tr>
      <w:tr w:rsidR="005C6CBB" w:rsidRPr="00DE704D" w:rsidTr="00B675B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 w:rsidRPr="00DE704D">
              <w:rPr>
                <w:rFonts w:ascii="Cambria" w:hAnsi="Cambria" w:cs="Arial"/>
                <w:color w:val="632423"/>
              </w:rPr>
              <w:t>EXTRA BED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DE704D" w:rsidRDefault="005C6CBB" w:rsidP="00B675B6">
            <w:pPr>
              <w:jc w:val="both"/>
              <w:rPr>
                <w:rFonts w:ascii="Cambria" w:hAnsi="Cambria" w:cs="Arial"/>
                <w:color w:val="632423"/>
              </w:rPr>
            </w:pPr>
            <w:r>
              <w:rPr>
                <w:rFonts w:ascii="Cambria" w:hAnsi="Cambria" w:cs="Arial"/>
                <w:color w:val="632423"/>
              </w:rPr>
              <w:t>18</w:t>
            </w:r>
            <w:r w:rsidRPr="00DE704D">
              <w:rPr>
                <w:rFonts w:ascii="Cambria" w:hAnsi="Cambria" w:cs="Arial"/>
                <w:color w:val="632423"/>
              </w:rPr>
              <w:t>00.00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BB" w:rsidRPr="00AE72E3" w:rsidRDefault="005C6CBB" w:rsidP="00B675B6">
            <w:pPr>
              <w:jc w:val="both"/>
              <w:rPr>
                <w:rFonts w:ascii="Cambria" w:hAnsi="Cambria" w:cs="Arial"/>
                <w:b/>
                <w:color w:val="632423"/>
              </w:rPr>
            </w:pPr>
            <w:r>
              <w:rPr>
                <w:rFonts w:ascii="Cambria" w:hAnsi="Cambria" w:cs="Arial"/>
                <w:b/>
                <w:color w:val="632423"/>
              </w:rPr>
              <w:t>18</w:t>
            </w:r>
            <w:r w:rsidRPr="00AE72E3">
              <w:rPr>
                <w:rFonts w:ascii="Cambria" w:hAnsi="Cambria" w:cs="Arial"/>
                <w:b/>
                <w:color w:val="632423"/>
              </w:rPr>
              <w:t>00.00</w:t>
            </w:r>
          </w:p>
        </w:tc>
      </w:tr>
    </w:tbl>
    <w:p w:rsidR="005C6CBB" w:rsidRPr="00DE704D" w:rsidRDefault="005C6CBB" w:rsidP="005C6CBB">
      <w:pPr>
        <w:ind w:left="720"/>
        <w:jc w:val="both"/>
        <w:rPr>
          <w:rFonts w:ascii="Cambria" w:hAnsi="Cambria" w:cs="Arial"/>
          <w:i/>
          <w:color w:val="632423"/>
          <w:sz w:val="16"/>
          <w:szCs w:val="16"/>
        </w:rPr>
      </w:pPr>
    </w:p>
    <w:p w:rsidR="005C6CBB" w:rsidRPr="00DE704D" w:rsidRDefault="005C6CBB" w:rsidP="005C6CBB">
      <w:pPr>
        <w:jc w:val="both"/>
        <w:rPr>
          <w:rFonts w:ascii="Cambria" w:hAnsi="Cambria" w:cs="Arial"/>
          <w:i/>
          <w:color w:val="632423"/>
        </w:rPr>
      </w:pPr>
      <w:r w:rsidRPr="00DE704D">
        <w:rPr>
          <w:rFonts w:ascii="Cambria" w:hAnsi="Cambria" w:cs="Arial"/>
          <w:i/>
          <w:color w:val="632423"/>
        </w:rPr>
        <w:t xml:space="preserve">      </w:t>
      </w:r>
      <w:r>
        <w:rPr>
          <w:rFonts w:ascii="Cambria" w:hAnsi="Cambria" w:cs="Arial"/>
          <w:i/>
          <w:color w:val="632423"/>
        </w:rPr>
        <w:t xml:space="preserve">     ** The above rates are on C</w:t>
      </w:r>
      <w:r w:rsidRPr="00DE704D">
        <w:rPr>
          <w:rFonts w:ascii="Cambria" w:hAnsi="Cambria" w:cs="Arial"/>
          <w:i/>
          <w:color w:val="632423"/>
        </w:rPr>
        <w:t>P plan (Room + Breakfast)</w:t>
      </w:r>
    </w:p>
    <w:p w:rsidR="005C6CBB" w:rsidRPr="00DE704D" w:rsidRDefault="005C6CBB" w:rsidP="005C6CBB">
      <w:pPr>
        <w:ind w:left="720"/>
        <w:jc w:val="both"/>
        <w:rPr>
          <w:rFonts w:ascii="Cambria" w:hAnsi="Cambria" w:cs="Arial"/>
          <w:i/>
          <w:color w:val="632423"/>
        </w:rPr>
      </w:pPr>
      <w:r w:rsidRPr="00DE704D">
        <w:rPr>
          <w:rFonts w:ascii="Cambria" w:hAnsi="Cambria" w:cs="Arial"/>
          <w:i/>
          <w:color w:val="632423"/>
        </w:rPr>
        <w:t>** Luxury Tax of 10% and Service charges of 2% extra</w:t>
      </w:r>
    </w:p>
    <w:p w:rsidR="005C6CBB" w:rsidRPr="00DE704D" w:rsidRDefault="005C6CBB" w:rsidP="005C6CBB">
      <w:pPr>
        <w:ind w:left="720"/>
        <w:jc w:val="both"/>
        <w:rPr>
          <w:rFonts w:ascii="Cambria" w:hAnsi="Cambria" w:cs="Arial"/>
          <w:i/>
          <w:color w:val="632423"/>
        </w:rPr>
      </w:pPr>
      <w:r w:rsidRPr="00DE704D">
        <w:rPr>
          <w:rFonts w:ascii="Cambria" w:hAnsi="Cambria" w:cs="Arial"/>
          <w:i/>
          <w:color w:val="632423"/>
        </w:rPr>
        <w:t xml:space="preserve">** Please </w:t>
      </w:r>
      <w:r>
        <w:rPr>
          <w:rFonts w:ascii="Cambria" w:hAnsi="Cambria" w:cs="Arial"/>
          <w:i/>
          <w:color w:val="632423"/>
        </w:rPr>
        <w:t>call for other plans including MA</w:t>
      </w:r>
      <w:r w:rsidRPr="00DE704D">
        <w:rPr>
          <w:rFonts w:ascii="Cambria" w:hAnsi="Cambria" w:cs="Arial"/>
          <w:i/>
          <w:color w:val="632423"/>
        </w:rPr>
        <w:t xml:space="preserve">P and AP </w:t>
      </w:r>
    </w:p>
    <w:p w:rsidR="005C6CBB" w:rsidRDefault="005C6CBB" w:rsidP="005C6CBB">
      <w:pPr>
        <w:ind w:left="720"/>
        <w:jc w:val="both"/>
        <w:rPr>
          <w:rFonts w:ascii="Cambria" w:hAnsi="Cambria" w:cs="Arial"/>
          <w:b/>
          <w:i/>
          <w:color w:val="632423"/>
        </w:rPr>
      </w:pPr>
      <w:r w:rsidRPr="00DE704D">
        <w:rPr>
          <w:rFonts w:ascii="Cambria" w:hAnsi="Cambria" w:cs="Arial"/>
          <w:i/>
          <w:color w:val="632423"/>
        </w:rPr>
        <w:t xml:space="preserve">** </w:t>
      </w:r>
      <w:r w:rsidRPr="00DE704D">
        <w:rPr>
          <w:rFonts w:ascii="Cambria" w:hAnsi="Cambria" w:cs="Arial"/>
          <w:b/>
          <w:i/>
          <w:color w:val="632423"/>
        </w:rPr>
        <w:t>The above rates are valid</w:t>
      </w:r>
      <w:r>
        <w:rPr>
          <w:rFonts w:ascii="Cambria" w:hAnsi="Cambria" w:cs="Arial"/>
          <w:b/>
          <w:i/>
          <w:color w:val="632423"/>
        </w:rPr>
        <w:t xml:space="preserve"> till 30</w:t>
      </w:r>
      <w:r w:rsidRPr="002C34FC">
        <w:rPr>
          <w:rFonts w:ascii="Cambria" w:hAnsi="Cambria" w:cs="Arial"/>
          <w:b/>
          <w:i/>
          <w:color w:val="632423"/>
          <w:vertAlign w:val="superscript"/>
        </w:rPr>
        <w:t>th</w:t>
      </w:r>
      <w:r>
        <w:rPr>
          <w:rFonts w:ascii="Cambria" w:hAnsi="Cambria" w:cs="Arial"/>
          <w:b/>
          <w:i/>
          <w:color w:val="632423"/>
        </w:rPr>
        <w:t xml:space="preserve"> March 2011</w:t>
      </w:r>
      <w:r w:rsidRPr="00DE704D">
        <w:rPr>
          <w:rFonts w:ascii="Cambria" w:hAnsi="Cambria" w:cs="Arial"/>
          <w:b/>
          <w:i/>
          <w:color w:val="632423"/>
        </w:rPr>
        <w:t>.</w:t>
      </w:r>
    </w:p>
    <w:p w:rsidR="00100542" w:rsidRDefault="005C6CBB"/>
    <w:sectPr w:rsidR="00100542" w:rsidSect="0010054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C6CBB"/>
    <w:rsid w:val="005C6CBB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Toronto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 Luca</dc:creator>
  <cp:keywords/>
  <cp:lastModifiedBy>Victoria De Luca</cp:lastModifiedBy>
  <cp:revision>1</cp:revision>
  <dcterms:created xsi:type="dcterms:W3CDTF">2010-09-20T19:24:00Z</dcterms:created>
  <dcterms:modified xsi:type="dcterms:W3CDTF">2010-09-20T19:25:00Z</dcterms:modified>
</cp:coreProperties>
</file>